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90" w:rsidRDefault="00022B90" w:rsidP="00022B90">
      <w:pPr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02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"https://mzrt-kdmc.ru/about/normativno-spravochnaya-informaciya/informaciya-dlya-pacientov/informaciya-o-beremennosti/" </w:instrText>
      </w:r>
      <w:r w:rsidRPr="0002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022B90">
        <w:rPr>
          <w:rFonts w:ascii="Times New Roman" w:eastAsia="Times New Roman" w:hAnsi="Times New Roman" w:cs="Times New Roman"/>
          <w:b/>
          <w:color w:val="29272F"/>
          <w:sz w:val="24"/>
          <w:szCs w:val="24"/>
          <w:lang w:eastAsia="ru-RU"/>
        </w:rPr>
        <w:t>Об избегании факторов риска для профилактики осложнений во время беременности</w:t>
      </w:r>
      <w:r w:rsidRPr="00022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022B90" w:rsidRPr="00022B90" w:rsidRDefault="00022B90" w:rsidP="00022B90">
      <w:pPr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B90" w:rsidRPr="00022B90" w:rsidRDefault="00022B90" w:rsidP="00022B90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t>Группы риска при беременности</w:t>
      </w: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— это понятие в медицине необходимо для того, чтобы свести до минимума возможность развития осложнений во время вынашивание ребенка, которые впоследствии могут привести к преждевременным родам и врожденным патологиям.</w:t>
      </w:r>
    </w:p>
    <w:p w:rsidR="00022B90" w:rsidRPr="00022B90" w:rsidRDefault="00022B90" w:rsidP="00022B90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Факторы риска осложнений при беременности включают:</w:t>
      </w:r>
    </w:p>
    <w:p w:rsidR="00022B90" w:rsidRPr="00022B90" w:rsidRDefault="00022B90" w:rsidP="00022B90">
      <w:pPr>
        <w:pStyle w:val="a5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Ранее присутствующие заболевания беременной;</w:t>
      </w:r>
    </w:p>
    <w:p w:rsidR="00022B90" w:rsidRPr="00022B90" w:rsidRDefault="00022B90" w:rsidP="00022B90">
      <w:pPr>
        <w:pStyle w:val="a5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Физические характеристики и социальные условия (например, возраст);</w:t>
      </w:r>
    </w:p>
    <w:p w:rsidR="00022B90" w:rsidRPr="00022B90" w:rsidRDefault="00022B90" w:rsidP="00022B90">
      <w:pPr>
        <w:pStyle w:val="a5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Проблемы при предыдущих беременностях (например, </w:t>
      </w:r>
      <w:proofErr w:type="spell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преэклампсия</w:t>
      </w:r>
      <w:proofErr w:type="spell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в анамнезе);</w:t>
      </w:r>
    </w:p>
    <w:p w:rsidR="00022B90" w:rsidRPr="00022B90" w:rsidRDefault="00022B90" w:rsidP="00022B90">
      <w:pPr>
        <w:pStyle w:val="a5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Осложнения, которые развиваются во время беременности;</w:t>
      </w:r>
    </w:p>
    <w:p w:rsidR="00022B90" w:rsidRPr="00022B90" w:rsidRDefault="00022B90" w:rsidP="00022B90">
      <w:pPr>
        <w:pStyle w:val="a5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Осложнения, которые развиваются во время родов и </w:t>
      </w:r>
      <w:proofErr w:type="spell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родоразрешения</w:t>
      </w:r>
      <w:proofErr w:type="spell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.</w:t>
      </w:r>
    </w:p>
    <w:p w:rsidR="00022B90" w:rsidRPr="00022B90" w:rsidRDefault="00022B90" w:rsidP="00022B90">
      <w:pPr>
        <w:spacing w:after="240"/>
        <w:ind w:firstLine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Женщины, находящиеся в группе риска, требуют строгого наблюдения. Они должны посещать специалистов как минимум два раза в месяц, а иногда и каждую неделю.</w:t>
      </w:r>
    </w:p>
    <w:p w:rsidR="00022B90" w:rsidRPr="00022B90" w:rsidRDefault="00022B90" w:rsidP="00022B90">
      <w:pPr>
        <w:spacing w:after="240"/>
        <w:ind w:firstLine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Иногда будущих матерей из группы риска нужно определить в дневной стационар, чтобы в течение 6-8 часов в сутки за ними наблюдали врачи, оказывали необходимую медицинскую помощь и проводили некоторые процедуры. Только на основании предоставленных наблюдающим гинекологом данных женщине могут назначить пребывание в поликлинике в дневное время.</w:t>
      </w:r>
    </w:p>
    <w:p w:rsidR="00022B90" w:rsidRPr="00022B90" w:rsidRDefault="00022B90" w:rsidP="00022B90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Основанием для этого могут послужить следующие показатели: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анемия;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обострение хронического гастрита;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угроза выкидыша в первом или втором триместрах;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spell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вегетососудистая</w:t>
      </w:r>
      <w:proofErr w:type="spell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дистония</w:t>
      </w:r>
      <w:proofErr w:type="spell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в первом или втором триместрах;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ранний токсикоз при </w:t>
      </w:r>
      <w:proofErr w:type="gram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транзиторной</w:t>
      </w:r>
      <w:proofErr w:type="gram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кетонурии</w:t>
      </w:r>
      <w:proofErr w:type="spell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подозрение на патологию мочеполовых органов, на порок сердца и других заболеваний;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</w:t>
      </w:r>
      <w:proofErr w:type="spell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немедикаментозная</w:t>
      </w:r>
      <w:proofErr w:type="spell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терапия;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spellStart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резусконфликт</w:t>
      </w:r>
      <w:proofErr w:type="spellEnd"/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в первом или втором триместрах;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продолжения частичного лечения и наблюдения после длительного пребывания беременной женщины в стационаре;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наблюдение за женщинами, перенесшими наложение швов на шейк матки (ИЦН);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алкоголизм, наркомания и курение;</w:t>
      </w:r>
    </w:p>
    <w:p w:rsidR="00022B90" w:rsidRPr="00022B90" w:rsidRDefault="00022B90" w:rsidP="00022B90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отечность и др.</w:t>
      </w:r>
    </w:p>
    <w:p w:rsidR="00022B90" w:rsidRPr="00022B90" w:rsidRDefault="00022B90" w:rsidP="00022B90">
      <w:pPr>
        <w:spacing w:after="240"/>
        <w:ind w:firstLine="36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022B90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Женщине, попавшей по каким-либо причинам в особую группу, не стоит бояться и отчаиваться, ведь под должным наблюдением специалистов возможность развития той или иной патологии сводится к минимуму. Проводимые исследования и анализы выявят все угрозы, а опытные врачи составят подходящий план для будущей роженицы. Беременные, не находящие в группе риска и не знающие о своих заболеваниях, страдают гораздо больше, чем мамы, находящие под присмотром гинекологов. Поэтому консультация у врача – это святая обязанность каждой женщины, которая ожидает появления на свет малыша и заботится о его здоровье.</w:t>
      </w:r>
    </w:p>
    <w:p w:rsidR="00DA58EE" w:rsidRPr="00022B90" w:rsidRDefault="00DA58EE" w:rsidP="00022B90">
      <w:pPr>
        <w:rPr>
          <w:rFonts w:ascii="Times New Roman" w:hAnsi="Times New Roman" w:cs="Times New Roman"/>
          <w:sz w:val="24"/>
          <w:szCs w:val="24"/>
        </w:rPr>
      </w:pPr>
    </w:p>
    <w:sectPr w:rsidR="00DA58EE" w:rsidRPr="00022B90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758E"/>
    <w:multiLevelType w:val="hybridMultilevel"/>
    <w:tmpl w:val="52C01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31BF5"/>
    <w:multiLevelType w:val="hybridMultilevel"/>
    <w:tmpl w:val="8E1C6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B90"/>
    <w:rsid w:val="00022B90"/>
    <w:rsid w:val="00433F44"/>
    <w:rsid w:val="005214A2"/>
    <w:rsid w:val="00BD1971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3">
    <w:name w:val="heading 3"/>
    <w:basedOn w:val="a"/>
    <w:link w:val="30"/>
    <w:uiPriority w:val="9"/>
    <w:qFormat/>
    <w:rsid w:val="00022B9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B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22B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2B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2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2024-07-25T03:26:00Z</dcterms:created>
  <dcterms:modified xsi:type="dcterms:W3CDTF">2024-07-25T03:29:00Z</dcterms:modified>
</cp:coreProperties>
</file>